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044CF">
      <w:pPr>
        <w:spacing w:before="100" w:beforeLines="0" w:after="100" w:afterLines="0"/>
        <w:jc w:val="center"/>
        <w:rPr>
          <w:rFonts w:hint="eastAsia" w:ascii="宋体" w:hAnsi="宋体"/>
          <w:sz w:val="24"/>
          <w:szCs w:val="24"/>
          <w:lang w:val="zh-CN"/>
        </w:rPr>
      </w:pPr>
    </w:p>
    <w:p w14:paraId="225BD671">
      <w:pPr>
        <w:spacing w:before="100" w:beforeLines="0" w:after="100" w:afterLines="0"/>
        <w:jc w:val="center"/>
        <w:rPr>
          <w:rFonts w:hint="eastAsia" w:ascii="宋体" w:hAnsi="宋体"/>
          <w:sz w:val="24"/>
          <w:szCs w:val="24"/>
          <w:lang w:val="zh-CN"/>
        </w:rPr>
      </w:pPr>
    </w:p>
    <w:p w14:paraId="13A35AA0">
      <w:pPr>
        <w:spacing w:before="100" w:beforeLines="0" w:after="100" w:afterLines="0"/>
        <w:jc w:val="center"/>
        <w:rPr>
          <w:rFonts w:hint="eastAsia" w:ascii="宋体" w:hAnsi="宋体"/>
          <w:sz w:val="24"/>
          <w:szCs w:val="24"/>
          <w:lang w:val="zh-CN"/>
        </w:rPr>
      </w:pPr>
    </w:p>
    <w:p w14:paraId="459C72AF">
      <w:pPr>
        <w:spacing w:before="100" w:beforeLines="0" w:after="100" w:afterLines="0"/>
        <w:jc w:val="center"/>
        <w:rPr>
          <w:rFonts w:hint="eastAsia" w:ascii="宋体" w:hAnsi="宋体"/>
          <w:sz w:val="24"/>
          <w:szCs w:val="24"/>
          <w:lang w:val="zh-CN"/>
        </w:rPr>
      </w:pPr>
    </w:p>
    <w:p w14:paraId="485AE9C2">
      <w:pPr>
        <w:spacing w:before="100" w:beforeLines="0" w:after="100" w:afterLines="0"/>
        <w:jc w:val="center"/>
        <w:rPr>
          <w:rFonts w:hint="eastAsia" w:ascii="宋体" w:hAnsi="宋体"/>
          <w:sz w:val="24"/>
          <w:szCs w:val="24"/>
          <w:lang w:val="zh-CN"/>
        </w:rPr>
      </w:pPr>
    </w:p>
    <w:p w14:paraId="19B6729F">
      <w:pPr>
        <w:spacing w:before="100" w:beforeLines="0" w:after="100" w:afterLines="0"/>
        <w:jc w:val="center"/>
        <w:rPr>
          <w:rFonts w:hint="eastAsia" w:ascii="宋体" w:hAnsi="宋体"/>
          <w:sz w:val="24"/>
          <w:szCs w:val="24"/>
          <w:lang w:val="zh-CN"/>
        </w:rPr>
      </w:pPr>
    </w:p>
    <w:p w14:paraId="6F0D6917">
      <w:pPr>
        <w:spacing w:before="100" w:beforeLines="0" w:after="100" w:afterLines="0"/>
        <w:jc w:val="center"/>
        <w:rPr>
          <w:rFonts w:hint="eastAsia" w:ascii="宋体" w:hAnsi="宋体"/>
          <w:sz w:val="24"/>
          <w:szCs w:val="24"/>
          <w:lang w:val="zh-CN"/>
        </w:rPr>
      </w:pPr>
    </w:p>
    <w:p w14:paraId="5FDA0EA7">
      <w:pPr>
        <w:spacing w:before="100" w:beforeLines="0" w:after="100" w:afterLines="0"/>
        <w:jc w:val="center"/>
        <w:rPr>
          <w:rFonts w:hint="eastAsia" w:ascii="宋体" w:hAnsi="宋体"/>
          <w:sz w:val="24"/>
          <w:szCs w:val="24"/>
          <w:lang w:val="zh-CN"/>
        </w:rPr>
      </w:pPr>
    </w:p>
    <w:p w14:paraId="5CC662F6">
      <w:pPr>
        <w:spacing w:before="100" w:beforeLines="0" w:after="100" w:afterLines="0"/>
        <w:jc w:val="center"/>
        <w:rPr>
          <w:rFonts w:hint="eastAsia" w:ascii="宋体" w:hAnsi="宋体"/>
          <w:sz w:val="24"/>
          <w:szCs w:val="24"/>
          <w:lang w:val="zh-CN"/>
        </w:rPr>
      </w:pPr>
    </w:p>
    <w:p w14:paraId="78598EA6">
      <w:pPr>
        <w:spacing w:before="100" w:beforeLines="0" w:after="100" w:afterLines="0"/>
        <w:jc w:val="center"/>
        <w:rPr>
          <w:rFonts w:hint="eastAsia" w:ascii="宋体" w:hAnsi="宋体"/>
          <w:sz w:val="24"/>
          <w:szCs w:val="24"/>
          <w:lang w:val="zh-CN"/>
        </w:rPr>
      </w:pPr>
    </w:p>
    <w:p w14:paraId="09F2A9D6">
      <w:pPr>
        <w:spacing w:before="100" w:beforeLines="0" w:after="100" w:afterLines="0"/>
        <w:jc w:val="center"/>
        <w:rPr>
          <w:rFonts w:hint="eastAsia" w:ascii="宋体" w:hAnsi="宋体"/>
          <w:sz w:val="24"/>
          <w:szCs w:val="24"/>
          <w:lang w:val="zh-CN"/>
        </w:rPr>
      </w:pPr>
    </w:p>
    <w:p w14:paraId="4DE8B10E">
      <w:pPr>
        <w:spacing w:before="100" w:beforeLines="0" w:after="100" w:afterLines="0"/>
        <w:jc w:val="center"/>
        <w:rPr>
          <w:rFonts w:hint="eastAsia" w:ascii="宋体" w:hAnsi="宋体" w:eastAsia="宋体" w:cs="宋体"/>
          <w:b/>
          <w:bCs/>
          <w:sz w:val="44"/>
          <w:szCs w:val="44"/>
          <w:lang w:val="zh-CN"/>
        </w:rPr>
      </w:pPr>
    </w:p>
    <w:p w14:paraId="196FAE61">
      <w:pPr>
        <w:spacing w:before="100" w:beforeLines="0" w:after="100" w:afterLines="0"/>
        <w:jc w:val="center"/>
        <w:rPr>
          <w:rFonts w:hint="eastAsia" w:ascii="宋体" w:hAnsi="宋体" w:eastAsia="宋体" w:cs="宋体"/>
          <w:b/>
          <w:bCs/>
          <w:sz w:val="44"/>
          <w:szCs w:val="44"/>
          <w:lang w:val="zh-CN"/>
        </w:rPr>
      </w:pPr>
      <w:r>
        <w:rPr>
          <w:rFonts w:hint="eastAsia" w:ascii="宋体" w:hAnsi="宋体" w:eastAsia="宋体" w:cs="宋体"/>
          <w:b/>
          <w:bCs/>
          <w:sz w:val="44"/>
          <w:szCs w:val="44"/>
          <w:lang w:val="zh-CN"/>
        </w:rPr>
        <w:t>2023年度</w:t>
      </w:r>
    </w:p>
    <w:p w14:paraId="0E2E6A26">
      <w:pPr>
        <w:spacing w:before="100" w:beforeLines="0" w:after="100" w:afterLines="0"/>
        <w:jc w:val="center"/>
        <w:rPr>
          <w:rFonts w:hint="eastAsia" w:ascii="宋体" w:hAnsi="宋体" w:eastAsia="宋体" w:cs="宋体"/>
          <w:b/>
          <w:bCs/>
          <w:sz w:val="44"/>
          <w:szCs w:val="44"/>
          <w:lang w:val="zh-CN"/>
        </w:rPr>
      </w:pPr>
      <w:r>
        <w:rPr>
          <w:rFonts w:hint="eastAsia" w:ascii="宋体" w:hAnsi="宋体" w:eastAsia="宋体" w:cs="宋体"/>
          <w:b/>
          <w:bCs/>
          <w:sz w:val="44"/>
          <w:szCs w:val="44"/>
          <w:lang w:val="zh-CN"/>
        </w:rPr>
        <w:t>华池县酒类商品管理局部门决算</w:t>
      </w:r>
    </w:p>
    <w:p w14:paraId="1BEBC04B">
      <w:pPr>
        <w:spacing w:before="100" w:beforeLines="0" w:after="100" w:afterLines="0"/>
        <w:jc w:val="center"/>
        <w:rPr>
          <w:rFonts w:hint="eastAsia" w:ascii="宋体" w:hAnsi="宋体" w:eastAsia="宋体" w:cs="宋体"/>
          <w:b/>
          <w:bCs/>
          <w:sz w:val="44"/>
          <w:szCs w:val="44"/>
          <w:lang w:val="zh-CN"/>
        </w:rPr>
      </w:pPr>
    </w:p>
    <w:p w14:paraId="5823E9F0">
      <w:pPr>
        <w:spacing w:before="100" w:beforeLines="0" w:after="100" w:afterLines="0"/>
        <w:jc w:val="center"/>
        <w:rPr>
          <w:rFonts w:hint="eastAsia" w:ascii="宋体" w:hAnsi="宋体"/>
          <w:sz w:val="24"/>
          <w:szCs w:val="24"/>
          <w:lang w:val="zh-CN"/>
        </w:rPr>
      </w:pPr>
    </w:p>
    <w:p w14:paraId="57556E9A">
      <w:pPr>
        <w:spacing w:before="100" w:beforeLines="0" w:after="100" w:afterLines="0"/>
        <w:jc w:val="center"/>
        <w:rPr>
          <w:rFonts w:hint="eastAsia" w:ascii="宋体" w:hAnsi="宋体"/>
          <w:sz w:val="24"/>
          <w:szCs w:val="24"/>
          <w:lang w:val="zh-CN"/>
        </w:rPr>
      </w:pPr>
    </w:p>
    <w:p w14:paraId="4AE54AD6">
      <w:pPr>
        <w:spacing w:before="100" w:beforeLines="0" w:after="100" w:afterLines="0"/>
        <w:jc w:val="center"/>
        <w:rPr>
          <w:rFonts w:hint="eastAsia" w:ascii="宋体" w:hAnsi="宋体"/>
          <w:sz w:val="24"/>
          <w:szCs w:val="24"/>
          <w:lang w:val="zh-CN"/>
        </w:rPr>
      </w:pPr>
    </w:p>
    <w:p w14:paraId="0C39DA6F">
      <w:pPr>
        <w:spacing w:before="100" w:beforeLines="0" w:after="100" w:afterLines="0"/>
        <w:jc w:val="center"/>
        <w:rPr>
          <w:rFonts w:hint="eastAsia" w:ascii="宋体" w:hAnsi="宋体"/>
          <w:sz w:val="24"/>
          <w:szCs w:val="24"/>
          <w:lang w:val="zh-CN"/>
        </w:rPr>
      </w:pPr>
    </w:p>
    <w:p w14:paraId="43D9D54A">
      <w:pPr>
        <w:spacing w:before="100" w:beforeLines="0" w:after="100" w:afterLines="0"/>
        <w:jc w:val="center"/>
        <w:rPr>
          <w:rFonts w:hint="eastAsia" w:ascii="宋体" w:hAnsi="宋体"/>
          <w:sz w:val="24"/>
          <w:szCs w:val="24"/>
          <w:lang w:val="zh-CN"/>
        </w:rPr>
      </w:pPr>
    </w:p>
    <w:p w14:paraId="07B7BFE3">
      <w:pPr>
        <w:spacing w:before="100" w:beforeLines="0" w:after="100" w:afterLines="0"/>
        <w:jc w:val="center"/>
        <w:rPr>
          <w:rFonts w:hint="eastAsia" w:ascii="宋体" w:hAnsi="宋体"/>
          <w:sz w:val="24"/>
          <w:szCs w:val="24"/>
          <w:lang w:val="zh-CN"/>
        </w:rPr>
      </w:pPr>
    </w:p>
    <w:p w14:paraId="3D1B6119">
      <w:pPr>
        <w:spacing w:before="100" w:beforeLines="0" w:after="100" w:afterLines="0"/>
        <w:jc w:val="center"/>
        <w:rPr>
          <w:rFonts w:hint="eastAsia" w:ascii="宋体" w:hAnsi="宋体"/>
          <w:sz w:val="24"/>
          <w:szCs w:val="24"/>
          <w:lang w:val="zh-CN"/>
        </w:rPr>
      </w:pPr>
    </w:p>
    <w:p w14:paraId="1B205BB5">
      <w:pPr>
        <w:spacing w:before="100" w:beforeLines="0" w:after="100" w:afterLines="0"/>
        <w:jc w:val="center"/>
        <w:rPr>
          <w:rFonts w:hint="eastAsia" w:ascii="宋体" w:hAnsi="宋体"/>
          <w:sz w:val="24"/>
          <w:szCs w:val="24"/>
          <w:lang w:val="zh-CN"/>
        </w:rPr>
      </w:pPr>
    </w:p>
    <w:p w14:paraId="2C5DF929">
      <w:pPr>
        <w:spacing w:before="100" w:beforeLines="0" w:after="100" w:afterLines="0"/>
        <w:jc w:val="center"/>
        <w:rPr>
          <w:rFonts w:hint="eastAsia" w:ascii="宋体" w:hAnsi="宋体"/>
          <w:sz w:val="24"/>
          <w:szCs w:val="24"/>
          <w:lang w:val="zh-CN"/>
        </w:rPr>
      </w:pPr>
    </w:p>
    <w:p w14:paraId="5016B4E1">
      <w:pPr>
        <w:spacing w:before="100" w:beforeLines="0" w:after="100" w:afterLines="0"/>
        <w:jc w:val="center"/>
        <w:rPr>
          <w:rFonts w:hint="eastAsia" w:ascii="宋体" w:hAnsi="宋体"/>
          <w:sz w:val="24"/>
          <w:szCs w:val="24"/>
          <w:lang w:val="zh-CN"/>
        </w:rPr>
      </w:pPr>
    </w:p>
    <w:p w14:paraId="02B19BF6">
      <w:pPr>
        <w:spacing w:before="100" w:beforeLines="0" w:after="100" w:afterLines="0"/>
        <w:jc w:val="center"/>
        <w:rPr>
          <w:rFonts w:hint="eastAsia" w:ascii="宋体" w:hAnsi="宋体"/>
          <w:sz w:val="24"/>
          <w:szCs w:val="24"/>
          <w:lang w:val="zh-CN"/>
        </w:rPr>
      </w:pPr>
    </w:p>
    <w:p w14:paraId="3FD31164">
      <w:pPr>
        <w:spacing w:before="100" w:beforeLines="0" w:after="100" w:afterLines="0"/>
        <w:jc w:val="center"/>
        <w:rPr>
          <w:rFonts w:hint="eastAsia" w:ascii="宋体" w:hAnsi="宋体"/>
          <w:sz w:val="24"/>
          <w:szCs w:val="24"/>
          <w:lang w:val="zh-CN"/>
        </w:rPr>
      </w:pPr>
    </w:p>
    <w:p w14:paraId="61288372">
      <w:pPr>
        <w:spacing w:before="100" w:beforeLines="0" w:after="100" w:afterLines="0"/>
        <w:jc w:val="center"/>
        <w:rPr>
          <w:rFonts w:hint="eastAsia" w:ascii="宋体" w:hAnsi="宋体"/>
          <w:sz w:val="24"/>
          <w:szCs w:val="24"/>
          <w:lang w:val="zh-CN"/>
        </w:rPr>
      </w:pPr>
    </w:p>
    <w:p w14:paraId="16F87225">
      <w:pPr>
        <w:spacing w:before="100" w:beforeLines="0" w:after="100" w:afterLines="0"/>
        <w:jc w:val="center"/>
        <w:rPr>
          <w:rFonts w:hint="eastAsia" w:ascii="宋体" w:hAnsi="宋体"/>
          <w:sz w:val="24"/>
          <w:szCs w:val="24"/>
          <w:lang w:val="zh-CN"/>
        </w:rPr>
      </w:pPr>
    </w:p>
    <w:p w14:paraId="780095BA">
      <w:pPr>
        <w:spacing w:before="100" w:beforeLines="0" w:after="100" w:afterLines="0"/>
        <w:jc w:val="center"/>
        <w:rPr>
          <w:rFonts w:hint="eastAsia" w:ascii="宋体" w:hAnsi="宋体"/>
          <w:sz w:val="24"/>
          <w:szCs w:val="24"/>
          <w:lang w:val="zh-CN"/>
        </w:rPr>
      </w:pPr>
    </w:p>
    <w:p w14:paraId="41E37231">
      <w:pPr>
        <w:spacing w:before="100" w:beforeLines="0" w:after="100" w:afterLines="0"/>
        <w:jc w:val="center"/>
        <w:rPr>
          <w:rFonts w:hint="eastAsia" w:ascii="宋体" w:hAnsi="宋体"/>
          <w:sz w:val="32"/>
          <w:szCs w:val="32"/>
          <w:lang w:val="zh-CN"/>
        </w:rPr>
      </w:pPr>
      <w:r>
        <w:rPr>
          <w:rFonts w:hint="eastAsia" w:ascii="宋体" w:hAnsi="宋体"/>
          <w:b/>
          <w:sz w:val="32"/>
          <w:szCs w:val="32"/>
          <w:lang w:val="zh-CN"/>
        </w:rPr>
        <w:t>目录</w:t>
      </w:r>
    </w:p>
    <w:p w14:paraId="2CB1B20A">
      <w:pPr>
        <w:spacing w:before="100" w:beforeLines="0" w:after="100" w:afterLines="0"/>
        <w:ind w:firstLine="643" w:firstLineChars="200"/>
        <w:jc w:val="left"/>
        <w:rPr>
          <w:rFonts w:hint="eastAsia" w:ascii="宋体" w:hAnsi="宋体"/>
          <w:sz w:val="32"/>
          <w:szCs w:val="32"/>
          <w:lang w:val="zh-CN"/>
        </w:rPr>
      </w:pPr>
      <w:r>
        <w:rPr>
          <w:rFonts w:hint="eastAsia" w:ascii="宋体" w:hAnsi="宋体"/>
          <w:b/>
          <w:sz w:val="32"/>
          <w:szCs w:val="32"/>
          <w:lang w:val="zh-CN"/>
        </w:rPr>
        <w:t>第一部分部门概况</w:t>
      </w:r>
    </w:p>
    <w:p w14:paraId="13C9EA12">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6DCD77E7">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495976DD">
      <w:pPr>
        <w:spacing w:before="100" w:beforeLines="0" w:after="100" w:afterLines="0"/>
        <w:ind w:firstLine="643" w:firstLineChars="200"/>
        <w:jc w:val="left"/>
        <w:rPr>
          <w:rFonts w:hint="eastAsia" w:ascii="宋体" w:hAnsi="宋体"/>
          <w:sz w:val="32"/>
          <w:szCs w:val="32"/>
          <w:lang w:val="zh-CN"/>
        </w:rPr>
      </w:pPr>
      <w:r>
        <w:rPr>
          <w:rFonts w:hint="eastAsia" w:ascii="宋体" w:hAnsi="宋体"/>
          <w:b/>
          <w:sz w:val="32"/>
          <w:szCs w:val="32"/>
          <w:lang w:val="zh-CN"/>
        </w:rPr>
        <w:t>第二部分2023年度部门决算表</w:t>
      </w:r>
    </w:p>
    <w:p w14:paraId="041CC284">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59507166">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4D5A5C89">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3D0959AF">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1FB968E4">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19D3D36B">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0E7A268E">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4D958EED">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2831A638">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三公</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经费支出决算表</w:t>
      </w:r>
    </w:p>
    <w:p w14:paraId="675592FD">
      <w:pPr>
        <w:spacing w:before="100" w:beforeLines="0" w:after="100" w:afterLines="0"/>
        <w:ind w:firstLine="643" w:firstLineChars="200"/>
        <w:jc w:val="left"/>
        <w:rPr>
          <w:rFonts w:hint="eastAsia" w:ascii="宋体" w:hAnsi="宋体"/>
          <w:sz w:val="32"/>
          <w:szCs w:val="32"/>
          <w:lang w:val="zh-CN"/>
        </w:rPr>
      </w:pPr>
      <w:r>
        <w:rPr>
          <w:rFonts w:hint="eastAsia" w:ascii="宋体" w:hAnsi="宋体"/>
          <w:b/>
          <w:sz w:val="32"/>
          <w:szCs w:val="32"/>
          <w:lang w:val="zh-CN"/>
        </w:rPr>
        <w:t>第三部分2023年度部门决算情况说明</w:t>
      </w:r>
    </w:p>
    <w:p w14:paraId="0C546DC5">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6797DED2">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5A061309">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09C1814A">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4C763EA2">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1C597478">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6EF47F00">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5D3D5FCA">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3FB6DC52">
      <w:pPr>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三公</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经费支出决算情况说明</w:t>
      </w:r>
    </w:p>
    <w:p w14:paraId="1E397383">
      <w:pPr>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70B983E7">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7A02FB9E">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3B270EBF">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52A67ECC">
      <w:pPr>
        <w:spacing w:before="100" w:beforeLines="0" w:after="100" w:afterLines="0"/>
        <w:ind w:firstLine="643" w:firstLineChars="200"/>
        <w:jc w:val="left"/>
        <w:rPr>
          <w:rFonts w:hint="eastAsia" w:ascii="宋体" w:hAnsi="宋体"/>
          <w:sz w:val="32"/>
          <w:szCs w:val="32"/>
          <w:lang w:val="zh-CN"/>
        </w:rPr>
      </w:pPr>
      <w:r>
        <w:rPr>
          <w:rFonts w:hint="eastAsia" w:ascii="宋体" w:hAnsi="宋体"/>
          <w:b/>
          <w:sz w:val="32"/>
          <w:szCs w:val="32"/>
          <w:lang w:val="zh-CN"/>
        </w:rPr>
        <w:t>第四部分预算绩效情况说明</w:t>
      </w:r>
    </w:p>
    <w:p w14:paraId="1AE11675">
      <w:pPr>
        <w:spacing w:before="100" w:beforeLines="0" w:after="100" w:afterLines="0"/>
        <w:ind w:firstLine="643" w:firstLineChars="200"/>
        <w:jc w:val="left"/>
        <w:rPr>
          <w:rFonts w:hint="eastAsia" w:ascii="宋体" w:hAnsi="宋体"/>
          <w:sz w:val="32"/>
          <w:szCs w:val="32"/>
          <w:lang w:val="zh-CN"/>
        </w:rPr>
      </w:pPr>
      <w:r>
        <w:rPr>
          <w:rFonts w:hint="eastAsia" w:ascii="宋体" w:hAnsi="宋体"/>
          <w:b/>
          <w:sz w:val="32"/>
          <w:szCs w:val="32"/>
          <w:lang w:val="zh-CN"/>
        </w:rPr>
        <w:t>第五部分名词解释</w:t>
      </w:r>
    </w:p>
    <w:p w14:paraId="61BD37B3">
      <w:pPr>
        <w:spacing w:before="100" w:beforeLines="0" w:after="100" w:afterLines="0"/>
        <w:jc w:val="center"/>
        <w:rPr>
          <w:rFonts w:hint="eastAsia" w:ascii="宋体" w:hAnsi="宋体"/>
          <w:sz w:val="32"/>
          <w:szCs w:val="32"/>
          <w:lang w:val="zh-CN"/>
        </w:rPr>
      </w:pPr>
    </w:p>
    <w:p w14:paraId="04E7F4C8">
      <w:pPr>
        <w:spacing w:before="100" w:beforeLines="0" w:after="100" w:afterLines="0"/>
        <w:jc w:val="center"/>
        <w:rPr>
          <w:rFonts w:hint="eastAsia" w:ascii="宋体" w:hAnsi="宋体"/>
          <w:sz w:val="32"/>
          <w:szCs w:val="32"/>
          <w:lang w:val="zh-CN"/>
        </w:rPr>
      </w:pPr>
    </w:p>
    <w:p w14:paraId="5E948CC5">
      <w:pPr>
        <w:spacing w:before="100" w:beforeLines="0" w:after="100" w:afterLines="0"/>
        <w:jc w:val="center"/>
        <w:rPr>
          <w:rFonts w:hint="eastAsia" w:ascii="宋体" w:hAnsi="宋体"/>
          <w:sz w:val="32"/>
          <w:szCs w:val="32"/>
          <w:lang w:val="zh-CN"/>
        </w:rPr>
      </w:pPr>
    </w:p>
    <w:p w14:paraId="44CF078F">
      <w:pPr>
        <w:spacing w:before="100" w:beforeLines="0" w:after="100" w:afterLines="0"/>
        <w:jc w:val="center"/>
        <w:rPr>
          <w:rFonts w:hint="eastAsia" w:ascii="宋体" w:hAnsi="宋体"/>
          <w:sz w:val="32"/>
          <w:szCs w:val="32"/>
          <w:lang w:val="zh-CN"/>
        </w:rPr>
      </w:pPr>
    </w:p>
    <w:p w14:paraId="664B99EC">
      <w:pPr>
        <w:spacing w:before="100" w:beforeLines="0" w:after="100" w:afterLines="0"/>
        <w:jc w:val="center"/>
        <w:rPr>
          <w:rFonts w:hint="eastAsia" w:ascii="宋体" w:hAnsi="宋体"/>
          <w:sz w:val="32"/>
          <w:szCs w:val="32"/>
          <w:lang w:val="zh-CN"/>
        </w:rPr>
      </w:pPr>
    </w:p>
    <w:p w14:paraId="66627838">
      <w:pPr>
        <w:spacing w:before="100" w:beforeLines="0" w:after="100" w:afterLines="0"/>
        <w:jc w:val="center"/>
        <w:rPr>
          <w:rFonts w:hint="eastAsia" w:ascii="宋体" w:hAnsi="宋体"/>
          <w:sz w:val="32"/>
          <w:szCs w:val="32"/>
          <w:lang w:val="zh-CN"/>
        </w:rPr>
      </w:pPr>
    </w:p>
    <w:p w14:paraId="697EE4EE">
      <w:pPr>
        <w:spacing w:before="100" w:beforeLines="0" w:after="100" w:afterLines="0"/>
        <w:jc w:val="center"/>
        <w:rPr>
          <w:rFonts w:hint="eastAsia" w:ascii="宋体" w:hAnsi="宋体"/>
          <w:sz w:val="32"/>
          <w:szCs w:val="32"/>
          <w:lang w:val="zh-CN"/>
        </w:rPr>
      </w:pPr>
    </w:p>
    <w:p w14:paraId="760442C0">
      <w:pPr>
        <w:spacing w:before="100" w:beforeLines="0" w:after="100" w:afterLines="0"/>
        <w:jc w:val="center"/>
        <w:rPr>
          <w:rFonts w:hint="eastAsia" w:ascii="宋体" w:hAnsi="宋体"/>
          <w:b/>
          <w:sz w:val="32"/>
          <w:szCs w:val="32"/>
          <w:lang w:val="zh-CN"/>
        </w:rPr>
      </w:pPr>
    </w:p>
    <w:p w14:paraId="42A0E199">
      <w:pPr>
        <w:spacing w:before="100" w:beforeLines="0" w:after="100" w:afterLines="0"/>
        <w:jc w:val="center"/>
        <w:rPr>
          <w:rFonts w:hint="eastAsia" w:ascii="宋体" w:hAnsi="宋体"/>
          <w:sz w:val="32"/>
          <w:szCs w:val="32"/>
          <w:lang w:val="zh-CN"/>
        </w:rPr>
      </w:pPr>
      <w:r>
        <w:rPr>
          <w:rFonts w:hint="eastAsia" w:ascii="宋体" w:hAnsi="宋体"/>
          <w:b/>
          <w:sz w:val="32"/>
          <w:szCs w:val="32"/>
          <w:lang w:val="zh-CN"/>
        </w:rPr>
        <w:t>第一部分部门概况</w:t>
      </w:r>
    </w:p>
    <w:p w14:paraId="5028F8E4">
      <w:pPr>
        <w:spacing w:before="100" w:beforeLines="0" w:after="100" w:afterLines="0"/>
        <w:jc w:val="both"/>
        <w:rPr>
          <w:rFonts w:hint="eastAsia" w:ascii="宋体" w:hAnsi="宋体"/>
          <w:b/>
          <w:color w:val="auto"/>
          <w:sz w:val="32"/>
          <w:szCs w:val="32"/>
          <w:lang w:val="zh-CN"/>
        </w:rPr>
      </w:pPr>
    </w:p>
    <w:p w14:paraId="4DAA1023">
      <w:pPr>
        <w:spacing w:before="100" w:beforeLines="0" w:after="100" w:afterLines="0"/>
        <w:ind w:firstLine="643" w:firstLineChars="200"/>
        <w:jc w:val="both"/>
        <w:rPr>
          <w:rFonts w:hint="eastAsia" w:ascii="宋体" w:hAnsi="宋体"/>
          <w:b/>
          <w:color w:val="auto"/>
          <w:sz w:val="32"/>
          <w:szCs w:val="32"/>
          <w:lang w:val="zh-CN"/>
        </w:rPr>
      </w:pPr>
      <w:r>
        <w:rPr>
          <w:rFonts w:hint="eastAsia" w:ascii="宋体" w:hAnsi="宋体"/>
          <w:b/>
          <w:color w:val="auto"/>
          <w:sz w:val="32"/>
          <w:szCs w:val="32"/>
          <w:lang w:val="zh-CN"/>
        </w:rPr>
        <w:t>一、单位职责</w:t>
      </w:r>
    </w:p>
    <w:p w14:paraId="61B3DDAD">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华池县酒类商品管理局主要负责国家及省、市有关酒类管理政策法规的贯彻执行，研究制定并组织实施促进全县酒类市场健康发展的规章制度。负责对酒类产品生产、流通管理工作的领导，按照产业政策的要求，统筹规划、优化结构、扶持发展名优酒。负责对酒类市场的监管，依法查处酒类经营企业的违法违纪行为，维护酒类流通市场秩序。负责对酒类批发企业资格审核及年审工作。承办县委、县政府和上级业务部门交办的其他事项。</w:t>
      </w:r>
    </w:p>
    <w:p w14:paraId="70D371C6">
      <w:pPr>
        <w:numPr>
          <w:ilvl w:val="0"/>
          <w:numId w:val="1"/>
        </w:numPr>
        <w:spacing w:before="100" w:beforeLines="0" w:after="100" w:afterLines="0"/>
        <w:ind w:firstLine="643" w:firstLineChars="200"/>
        <w:jc w:val="left"/>
        <w:rPr>
          <w:rFonts w:hint="eastAsia" w:ascii="宋体" w:hAnsi="宋体"/>
          <w:b/>
          <w:color w:val="auto"/>
          <w:sz w:val="32"/>
          <w:szCs w:val="32"/>
          <w:lang w:val="zh-CN"/>
        </w:rPr>
      </w:pPr>
      <w:r>
        <w:rPr>
          <w:rFonts w:hint="eastAsia" w:ascii="宋体" w:hAnsi="宋体"/>
          <w:b/>
          <w:color w:val="auto"/>
          <w:sz w:val="32"/>
          <w:szCs w:val="32"/>
          <w:lang w:val="zh-CN"/>
        </w:rPr>
        <w:t>机构设置</w:t>
      </w:r>
    </w:p>
    <w:p w14:paraId="7A2287D1">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华池县酒类商品管理局202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val="zh-CN"/>
        </w:rPr>
        <w:t>年度共有编制6人，其中：参公编制5人,事业管理1人。财政供养总人数7人，其中：在职人员6人，遗属1人。</w:t>
      </w:r>
    </w:p>
    <w:p w14:paraId="27CE7634">
      <w:pPr>
        <w:spacing w:before="100" w:beforeLines="0" w:after="100" w:afterLines="0"/>
        <w:jc w:val="center"/>
        <w:rPr>
          <w:rFonts w:hint="eastAsia" w:ascii="宋体" w:hAnsi="宋体"/>
          <w:color w:val="auto"/>
          <w:sz w:val="32"/>
          <w:szCs w:val="32"/>
          <w:lang w:val="zh-CN"/>
        </w:rPr>
      </w:pPr>
      <w:r>
        <w:rPr>
          <w:rFonts w:hint="eastAsia" w:ascii="宋体" w:hAnsi="宋体"/>
          <w:b/>
          <w:color w:val="auto"/>
          <w:sz w:val="32"/>
          <w:szCs w:val="32"/>
          <w:lang w:val="zh-CN"/>
        </w:rPr>
        <w:t>第二部分2023年度部门决算表</w:t>
      </w:r>
    </w:p>
    <w:p w14:paraId="3CDBD85D">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一、收入支出决算总表(见附件)</w:t>
      </w:r>
    </w:p>
    <w:p w14:paraId="754B4A83">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二、收入决算表(见附件)</w:t>
      </w:r>
    </w:p>
    <w:p w14:paraId="6E3B5815">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三、支出决算表(见附件)</w:t>
      </w:r>
    </w:p>
    <w:p w14:paraId="1A6EEFE7">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四、财政拨款收入支出决算总表(见附件)</w:t>
      </w:r>
    </w:p>
    <w:p w14:paraId="32764387">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五、一般公共预算财政拨款支出决算表(见附件)</w:t>
      </w:r>
    </w:p>
    <w:p w14:paraId="56D349CF">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六、一般公共预算财政拨款基本支出决算明细表(见附件)</w:t>
      </w:r>
    </w:p>
    <w:p w14:paraId="4C872D26">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七、政府性基金预算财政拨款收入支出决算表（本部门没有相关数据,故本表无数据)</w:t>
      </w:r>
    </w:p>
    <w:p w14:paraId="5A2A1AEA">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八、国有资本经营预算财政拨款支出决算表（本部门没有相关数据,故本表无数据)</w:t>
      </w:r>
    </w:p>
    <w:p w14:paraId="583A8AFF">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三公</w:t>
      </w:r>
      <w:r>
        <w:rPr>
          <w:rFonts w:hint="default" w:ascii="仿宋_GB2312" w:hAnsi="仿宋_GB2312" w:eastAsia="仿宋_GB2312" w:cs="仿宋_GB2312"/>
          <w:sz w:val="32"/>
          <w:szCs w:val="32"/>
          <w:lang w:val="zh-CN"/>
        </w:rPr>
        <w:t>”</w:t>
      </w:r>
      <w:r>
        <w:rPr>
          <w:rFonts w:hint="eastAsia" w:ascii="仿宋_GB2312" w:hAnsi="仿宋_GB2312" w:eastAsia="仿宋_GB2312" w:cs="仿宋_GB2312"/>
          <w:sz w:val="32"/>
          <w:szCs w:val="32"/>
          <w:lang w:val="zh-CN"/>
        </w:rPr>
        <w:t>经费支出决算表（本部门没有相关数据,故本表无数据)</w:t>
      </w:r>
    </w:p>
    <w:p w14:paraId="24B5FB93">
      <w:pPr>
        <w:spacing w:before="100" w:beforeLines="0" w:after="100" w:afterLines="0"/>
        <w:jc w:val="center"/>
        <w:rPr>
          <w:rFonts w:hint="eastAsia" w:ascii="宋体" w:hAnsi="宋体"/>
          <w:b/>
          <w:color w:val="auto"/>
          <w:sz w:val="32"/>
          <w:szCs w:val="32"/>
          <w:lang w:val="zh-CN"/>
        </w:rPr>
      </w:pPr>
    </w:p>
    <w:p w14:paraId="2E2DB06E">
      <w:pPr>
        <w:spacing w:before="100" w:beforeLines="0" w:after="100" w:afterLines="0"/>
        <w:jc w:val="center"/>
        <w:rPr>
          <w:rFonts w:hint="eastAsia" w:ascii="宋体" w:hAnsi="宋体"/>
          <w:color w:val="auto"/>
          <w:sz w:val="32"/>
          <w:szCs w:val="32"/>
          <w:lang w:val="zh-CN"/>
        </w:rPr>
      </w:pPr>
      <w:r>
        <w:rPr>
          <w:rFonts w:hint="eastAsia" w:ascii="宋体" w:hAnsi="宋体"/>
          <w:b/>
          <w:color w:val="auto"/>
          <w:sz w:val="32"/>
          <w:szCs w:val="32"/>
          <w:lang w:val="zh-CN"/>
        </w:rPr>
        <w:t>第三部分2023年度部门决算情况说明</w:t>
      </w:r>
    </w:p>
    <w:p w14:paraId="09868124">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一、收入支出决算总体情况说明</w:t>
      </w:r>
    </w:p>
    <w:p w14:paraId="69654828">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2023年度收、支总计</w:t>
      </w:r>
      <w:r>
        <w:rPr>
          <w:rFonts w:hint="eastAsia" w:ascii="仿宋_GB2312" w:hAnsi="仿宋_GB2312" w:eastAsia="仿宋_GB2312" w:cs="仿宋_GB2312"/>
          <w:sz w:val="32"/>
          <w:szCs w:val="32"/>
          <w:lang w:val="en-US"/>
        </w:rPr>
        <w:t>均为</w:t>
      </w:r>
      <w:r>
        <w:rPr>
          <w:rFonts w:hint="eastAsia" w:ascii="仿宋_GB2312" w:hAnsi="仿宋_GB2312" w:eastAsia="仿宋_GB2312" w:cs="仿宋_GB2312"/>
          <w:sz w:val="32"/>
          <w:szCs w:val="32"/>
          <w:lang w:val="zh-CN"/>
        </w:rPr>
        <w:t>95.76万元。</w:t>
      </w:r>
      <w:r>
        <w:rPr>
          <w:rFonts w:hint="eastAsia" w:ascii="仿宋_GB2312" w:hAnsi="仿宋_GB2312" w:eastAsia="仿宋_GB2312" w:cs="仿宋_GB2312"/>
          <w:sz w:val="32"/>
          <w:szCs w:val="32"/>
          <w:lang w:val="en-US"/>
        </w:rPr>
        <w:t>与上年度相比,</w:t>
      </w:r>
      <w:r>
        <w:rPr>
          <w:rFonts w:hint="eastAsia" w:ascii="仿宋_GB2312" w:hAnsi="仿宋_GB2312" w:eastAsia="仿宋_GB2312" w:cs="仿宋_GB2312"/>
          <w:sz w:val="32"/>
          <w:szCs w:val="32"/>
          <w:lang w:val="zh-CN"/>
        </w:rPr>
        <w:t>收、支</w:t>
      </w:r>
      <w:r>
        <w:rPr>
          <w:rFonts w:hint="eastAsia" w:ascii="仿宋_GB2312" w:hAnsi="仿宋_GB2312" w:eastAsia="仿宋_GB2312" w:cs="仿宋_GB2312"/>
          <w:sz w:val="32"/>
          <w:szCs w:val="32"/>
          <w:lang w:val="en-US"/>
        </w:rPr>
        <w:t>总计各</w:t>
      </w:r>
      <w:r>
        <w:rPr>
          <w:rFonts w:hint="eastAsia" w:ascii="仿宋_GB2312" w:hAnsi="仿宋_GB2312" w:eastAsia="仿宋_GB2312" w:cs="仿宋_GB2312"/>
          <w:sz w:val="32"/>
          <w:szCs w:val="32"/>
          <w:lang w:val="zh-CN"/>
        </w:rPr>
        <w:t>增加7.9万元,增长9.0%,主要原因是人员养老、医疗等社会保险费增加。</w:t>
      </w:r>
    </w:p>
    <w:p w14:paraId="63CE0817">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二、收入决算情况说明</w:t>
      </w:r>
    </w:p>
    <w:p w14:paraId="1E53A8D0">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2023年度收入合计95.76万元,其中：财政拨款收入95.76万元,占100.00%。上</w:t>
      </w:r>
      <w:r>
        <w:rPr>
          <w:rFonts w:hint="eastAsia" w:ascii="仿宋_GB2312" w:hAnsi="仿宋_GB2312" w:eastAsia="仿宋_GB2312" w:cs="仿宋_GB2312"/>
          <w:sz w:val="32"/>
          <w:szCs w:val="32"/>
        </w:rPr>
        <w:t>级补助</w:t>
      </w:r>
      <w:r>
        <w:rPr>
          <w:rFonts w:hint="eastAsia" w:ascii="仿宋_GB2312" w:hAnsi="仿宋_GB2312" w:eastAsia="仿宋_GB2312" w:cs="仿宋_GB2312"/>
          <w:sz w:val="32"/>
          <w:szCs w:val="32"/>
          <w:lang w:val="zh-CN"/>
        </w:rPr>
        <w:t>收入0.00万元,占0.00%；</w:t>
      </w:r>
      <w:r>
        <w:rPr>
          <w:rFonts w:hint="eastAsia" w:ascii="仿宋_GB2312" w:hAnsi="仿宋_GB2312" w:eastAsia="仿宋_GB2312" w:cs="仿宋_GB2312"/>
          <w:sz w:val="32"/>
          <w:szCs w:val="32"/>
        </w:rPr>
        <w:t>事业</w:t>
      </w:r>
      <w:r>
        <w:rPr>
          <w:rFonts w:hint="eastAsia" w:ascii="仿宋_GB2312" w:hAnsi="仿宋_GB2312" w:eastAsia="仿宋_GB2312" w:cs="仿宋_GB2312"/>
          <w:sz w:val="32"/>
          <w:szCs w:val="32"/>
          <w:lang w:val="zh-CN"/>
        </w:rPr>
        <w:t>收入0.00万元,占0.00%；</w:t>
      </w:r>
      <w:r>
        <w:rPr>
          <w:rFonts w:hint="eastAsia" w:ascii="仿宋_GB2312" w:hAnsi="仿宋_GB2312" w:eastAsia="仿宋_GB2312" w:cs="仿宋_GB2312"/>
          <w:sz w:val="32"/>
          <w:szCs w:val="32"/>
        </w:rPr>
        <w:t>经营</w:t>
      </w:r>
      <w:r>
        <w:rPr>
          <w:rFonts w:hint="eastAsia" w:ascii="仿宋_GB2312" w:hAnsi="仿宋_GB2312" w:eastAsia="仿宋_GB2312" w:cs="仿宋_GB2312"/>
          <w:sz w:val="32"/>
          <w:szCs w:val="32"/>
          <w:lang w:val="zh-CN"/>
        </w:rPr>
        <w:t>收入0.00万元,占0.00%；</w:t>
      </w:r>
      <w:r>
        <w:rPr>
          <w:rFonts w:hint="eastAsia" w:ascii="仿宋_GB2312" w:hAnsi="仿宋_GB2312" w:eastAsia="仿宋_GB2312" w:cs="仿宋_GB2312"/>
          <w:sz w:val="32"/>
          <w:szCs w:val="32"/>
        </w:rPr>
        <w:t>附属单位上缴</w:t>
      </w:r>
      <w:r>
        <w:rPr>
          <w:rFonts w:hint="eastAsia" w:ascii="仿宋_GB2312" w:hAnsi="仿宋_GB2312" w:eastAsia="仿宋_GB2312" w:cs="仿宋_GB2312"/>
          <w:sz w:val="32"/>
          <w:szCs w:val="32"/>
          <w:lang w:val="zh-CN"/>
        </w:rPr>
        <w:t>收入0.00万元,占0.00%；</w:t>
      </w:r>
      <w:r>
        <w:rPr>
          <w:rFonts w:hint="eastAsia" w:ascii="仿宋_GB2312" w:hAnsi="仿宋_GB2312" w:eastAsia="仿宋_GB2312" w:cs="仿宋_GB2312"/>
          <w:sz w:val="32"/>
          <w:szCs w:val="32"/>
        </w:rPr>
        <w:t>其他</w:t>
      </w:r>
      <w:r>
        <w:rPr>
          <w:rFonts w:hint="eastAsia" w:ascii="仿宋_GB2312" w:hAnsi="仿宋_GB2312" w:eastAsia="仿宋_GB2312" w:cs="仿宋_GB2312"/>
          <w:sz w:val="32"/>
          <w:szCs w:val="32"/>
          <w:lang w:val="zh-CN"/>
        </w:rPr>
        <w:t>收入0.00万元,占0.00%。</w:t>
      </w:r>
    </w:p>
    <w:p w14:paraId="0697CBDE">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三、支出决算情况说明</w:t>
      </w:r>
    </w:p>
    <w:p w14:paraId="3DC46833">
      <w:pPr>
        <w:spacing w:before="100" w:beforeLines="0" w:after="100" w:afterLines="0"/>
        <w:ind w:firstLine="640" w:firstLineChars="200"/>
        <w:jc w:val="left"/>
        <w:rPr>
          <w:rFonts w:hint="eastAsia" w:ascii="宋体" w:hAnsi="宋体"/>
          <w:color w:val="auto"/>
          <w:sz w:val="32"/>
          <w:szCs w:val="32"/>
          <w:lang w:val="zh-CN"/>
        </w:rPr>
      </w:pPr>
      <w:r>
        <w:rPr>
          <w:rFonts w:hint="eastAsia" w:ascii="仿宋_GB2312" w:hAnsi="仿宋_GB2312" w:eastAsia="仿宋_GB2312" w:cs="仿宋_GB2312"/>
          <w:sz w:val="32"/>
          <w:szCs w:val="32"/>
          <w:lang w:val="zh-CN"/>
        </w:rPr>
        <w:t>2023年度支出合计95.76万元,其中：基本支出95.76万元,占100.00%。项目支出0.00万元,占0.00%；上缴上级支出0.00万元,占0.00%；经营支出0.00万元,占0.00%；对附属单位补助支出0.00万元,占0.00%。</w:t>
      </w:r>
    </w:p>
    <w:p w14:paraId="4EBDF640">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四、财政拨款收入支出决算总体情况说明</w:t>
      </w:r>
    </w:p>
    <w:p w14:paraId="58706136">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2023年度财政拨款收、支总计</w:t>
      </w:r>
      <w:r>
        <w:rPr>
          <w:rFonts w:hint="eastAsia" w:ascii="仿宋_GB2312" w:hAnsi="仿宋_GB2312" w:eastAsia="仿宋_GB2312" w:cs="仿宋_GB2312"/>
          <w:sz w:val="32"/>
          <w:szCs w:val="32"/>
          <w:lang w:val="en-US"/>
        </w:rPr>
        <w:t>均为</w:t>
      </w:r>
      <w:r>
        <w:rPr>
          <w:rFonts w:hint="eastAsia" w:ascii="仿宋_GB2312" w:hAnsi="仿宋_GB2312" w:eastAsia="仿宋_GB2312" w:cs="仿宋_GB2312"/>
          <w:sz w:val="32"/>
          <w:szCs w:val="32"/>
          <w:lang w:val="zh-CN"/>
        </w:rPr>
        <w:t>95.76万元。与</w:t>
      </w:r>
      <w:r>
        <w:rPr>
          <w:rFonts w:hint="eastAsia" w:ascii="仿宋_GB2312" w:hAnsi="仿宋_GB2312" w:eastAsia="仿宋_GB2312" w:cs="仿宋_GB2312"/>
          <w:sz w:val="32"/>
          <w:szCs w:val="32"/>
          <w:lang w:val="en-US"/>
        </w:rPr>
        <w:t>上</w:t>
      </w:r>
      <w:r>
        <w:rPr>
          <w:rFonts w:hint="eastAsia" w:ascii="仿宋_GB2312" w:hAnsi="仿宋_GB2312" w:eastAsia="仿宋_GB2312" w:cs="仿宋_GB2312"/>
          <w:sz w:val="32"/>
          <w:szCs w:val="32"/>
          <w:lang w:val="zh-CN"/>
        </w:rPr>
        <w:t>年相比,各增加7.91万元,增长9.0%。主要原因是人员养老、医疗等社会保险费增加。</w:t>
      </w:r>
    </w:p>
    <w:p w14:paraId="536CE649">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五、一般公共预算财政拨款支出决算情况说明</w:t>
      </w:r>
    </w:p>
    <w:p w14:paraId="6EE97761">
      <w:pPr>
        <w:spacing w:before="100" w:beforeLines="0" w:after="100" w:afterLines="0"/>
        <w:ind w:firstLine="640" w:firstLineChars="200"/>
        <w:jc w:val="left"/>
        <w:rPr>
          <w:rFonts w:hint="eastAsia" w:ascii="宋体" w:hAnsi="宋体"/>
          <w:color w:val="auto"/>
          <w:sz w:val="32"/>
          <w:szCs w:val="32"/>
          <w:lang w:val="zh-CN"/>
        </w:rPr>
      </w:pPr>
      <w:r>
        <w:rPr>
          <w:rFonts w:hint="eastAsia" w:ascii="宋体" w:hAnsi="宋体"/>
          <w:color w:val="auto"/>
          <w:sz w:val="32"/>
          <w:szCs w:val="32"/>
          <w:lang w:val="zh-CN"/>
        </w:rPr>
        <w:t>（一）一般公共预算财政拨款支出决算总体情况</w:t>
      </w:r>
    </w:p>
    <w:p w14:paraId="0E831B17">
      <w:pPr>
        <w:spacing w:before="100" w:beforeLines="0" w:after="100" w:afterLines="0"/>
        <w:ind w:firstLine="640" w:firstLineChars="200"/>
        <w:jc w:val="left"/>
        <w:rPr>
          <w:rFonts w:hint="eastAsia" w:ascii="宋体" w:hAnsi="宋体"/>
          <w:color w:val="FF0000"/>
          <w:sz w:val="32"/>
          <w:szCs w:val="32"/>
          <w:lang w:val="zh-CN"/>
        </w:rPr>
      </w:pPr>
      <w:r>
        <w:rPr>
          <w:rFonts w:hint="eastAsia" w:ascii="仿宋_GB2312" w:hAnsi="仿宋_GB2312" w:eastAsia="仿宋_GB2312" w:cs="仿宋_GB2312"/>
          <w:sz w:val="32"/>
          <w:szCs w:val="32"/>
          <w:lang w:val="zh-CN"/>
        </w:rPr>
        <w:t>2023年度一般公共预算财政拨款支出95.76万元,较上年决算数增加12.05万元,增长14.39%。主要原因一是人员工资福利增加，二是支付了上年未支付经费。</w:t>
      </w:r>
    </w:p>
    <w:p w14:paraId="7DBDC623">
      <w:pPr>
        <w:numPr>
          <w:ilvl w:val="0"/>
          <w:numId w:val="0"/>
        </w:numPr>
        <w:spacing w:before="100" w:beforeLines="0" w:after="100" w:afterLines="0"/>
        <w:ind w:firstLine="640" w:firstLineChars="200"/>
        <w:jc w:val="left"/>
        <w:rPr>
          <w:rFonts w:hint="eastAsia" w:ascii="宋体" w:hAnsi="宋体"/>
          <w:color w:val="000000" w:themeColor="text1"/>
          <w:sz w:val="32"/>
          <w:szCs w:val="32"/>
          <w:lang w:val="zh-CN"/>
          <w14:textFill>
            <w14:solidFill>
              <w14:schemeClr w14:val="tx1"/>
            </w14:solidFill>
          </w14:textFill>
        </w:rPr>
      </w:pPr>
      <w:r>
        <w:rPr>
          <w:rFonts w:hint="eastAsia" w:ascii="宋体" w:hAnsi="宋体"/>
          <w:color w:val="000000" w:themeColor="text1"/>
          <w:sz w:val="32"/>
          <w:szCs w:val="32"/>
          <w:lang w:val="zh-CN" w:eastAsia="zh-CN"/>
          <w14:textFill>
            <w14:solidFill>
              <w14:schemeClr w14:val="tx1"/>
            </w14:solidFill>
          </w14:textFill>
        </w:rPr>
        <w:t>（二）</w:t>
      </w:r>
      <w:r>
        <w:rPr>
          <w:rFonts w:hint="eastAsia" w:ascii="宋体" w:hAnsi="宋体"/>
          <w:color w:val="000000" w:themeColor="text1"/>
          <w:sz w:val="32"/>
          <w:szCs w:val="32"/>
          <w:lang w:val="zh-CN"/>
          <w14:textFill>
            <w14:solidFill>
              <w14:schemeClr w14:val="tx1"/>
            </w14:solidFill>
          </w14:textFill>
        </w:rPr>
        <w:t>一般公共预算财政拨款支出决算结构情况</w:t>
      </w:r>
    </w:p>
    <w:p w14:paraId="134F447C">
      <w:pPr>
        <w:spacing w:before="100" w:beforeLines="0" w:after="100" w:afterLines="0"/>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en-US" w:eastAsia="zh-CN"/>
        </w:rPr>
        <w:t>2023年度一般公共预算财政拨款支出</w:t>
      </w:r>
      <w:r>
        <w:rPr>
          <w:rFonts w:hint="eastAsia" w:ascii="仿宋_GB2312" w:hAnsi="仿宋_GB2312" w:eastAsia="仿宋_GB2312" w:cs="仿宋_GB2312"/>
          <w:sz w:val="32"/>
          <w:szCs w:val="32"/>
          <w:lang w:val="zh-CN"/>
        </w:rPr>
        <w:t>95.76万元，主要用于以下方面：一般公共服务支出88.32万元,占92.23%；；社会保障和就业支出2.62万元,占2.74%；卫生健康支出4.82万元,占5.03%。</w:t>
      </w:r>
    </w:p>
    <w:p w14:paraId="5EFF9924">
      <w:pPr>
        <w:numPr>
          <w:ilvl w:val="0"/>
          <w:numId w:val="0"/>
        </w:numPr>
        <w:spacing w:before="100" w:beforeLines="0" w:after="100" w:afterLines="0"/>
        <w:ind w:leftChars="0" w:firstLine="640" w:firstLineChars="200"/>
        <w:jc w:val="left"/>
        <w:rPr>
          <w:rFonts w:hint="eastAsia" w:ascii="宋体" w:hAnsi="宋体"/>
          <w:color w:val="000000" w:themeColor="text1"/>
          <w:sz w:val="32"/>
          <w:szCs w:val="32"/>
          <w:lang w:val="zh-CN"/>
          <w14:textFill>
            <w14:solidFill>
              <w14:schemeClr w14:val="tx1"/>
            </w14:solidFill>
          </w14:textFill>
        </w:rPr>
      </w:pPr>
      <w:r>
        <w:rPr>
          <w:rFonts w:hint="eastAsia" w:ascii="宋体" w:hAnsi="宋体"/>
          <w:color w:val="000000" w:themeColor="text1"/>
          <w:sz w:val="32"/>
          <w:szCs w:val="32"/>
          <w:lang w:val="zh-CN"/>
          <w14:textFill>
            <w14:solidFill>
              <w14:schemeClr w14:val="tx1"/>
            </w14:solidFill>
          </w14:textFill>
        </w:rPr>
        <w:t>（三）一般公共预算财政拨款支出决算具体情况。</w:t>
      </w:r>
    </w:p>
    <w:p w14:paraId="09AF0CE5">
      <w:pPr>
        <w:spacing w:before="100" w:beforeLines="0" w:after="100" w:afterLines="0"/>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2023年度一般公共预算财政拨款支出年初预算为</w:t>
      </w:r>
      <w:r>
        <w:rPr>
          <w:rFonts w:hint="eastAsia" w:ascii="仿宋_GB2312" w:hAnsi="仿宋_GB2312" w:eastAsia="仿宋_GB2312" w:cs="仿宋_GB2312"/>
          <w:sz w:val="32"/>
          <w:szCs w:val="32"/>
          <w:lang w:val="zh-CN"/>
        </w:rPr>
        <w:t>97.70万元,支出决算为95.76万元,完成年初预算的98.01%。其中：</w:t>
      </w:r>
    </w:p>
    <w:p w14:paraId="3C318B79">
      <w:pPr>
        <w:numPr>
          <w:ilvl w:val="0"/>
          <w:numId w:val="0"/>
        </w:numPr>
        <w:spacing w:before="100" w:beforeLines="0" w:after="100" w:afterLines="0"/>
        <w:ind w:firstLine="643" w:firstLineChars="200"/>
        <w:jc w:val="left"/>
        <w:rPr>
          <w:rFonts w:hint="eastAsia" w:ascii="宋体" w:hAnsi="宋体"/>
          <w:color w:val="auto"/>
          <w:sz w:val="32"/>
          <w:szCs w:val="32"/>
          <w:lang w:val="zh-CN"/>
        </w:rPr>
      </w:pPr>
      <w:r>
        <w:rPr>
          <w:rFonts w:hint="eastAsia" w:ascii="宋体" w:hAnsi="宋体"/>
          <w:b/>
          <w:color w:val="auto"/>
          <w:sz w:val="32"/>
          <w:szCs w:val="32"/>
          <w:lang w:val="en-US" w:eastAsia="zh-CN"/>
        </w:rPr>
        <w:t>1.</w:t>
      </w:r>
      <w:r>
        <w:rPr>
          <w:rFonts w:hint="eastAsia" w:ascii="宋体" w:hAnsi="宋体"/>
          <w:b/>
          <w:color w:val="auto"/>
          <w:sz w:val="32"/>
          <w:szCs w:val="32"/>
          <w:lang w:val="zh-CN"/>
        </w:rPr>
        <w:t>一般公共服务支出。</w:t>
      </w:r>
      <w:r>
        <w:rPr>
          <w:rFonts w:hint="eastAsia" w:ascii="仿宋_GB2312" w:hAnsi="仿宋_GB2312" w:eastAsia="仿宋_GB2312" w:cs="仿宋_GB2312"/>
          <w:sz w:val="32"/>
          <w:szCs w:val="32"/>
          <w:lang w:val="zh-CN" w:eastAsia="zh-CN"/>
        </w:rPr>
        <w:t>年初预算数为81.49万元,支出决算为88.32万元,完成年初预算的108.38%,决算数大于预算数的主要原因是人员工资福利增加。</w:t>
      </w:r>
    </w:p>
    <w:p w14:paraId="0DD3E541">
      <w:pPr>
        <w:spacing w:before="100" w:beforeLines="0" w:after="100" w:afterLines="0"/>
        <w:ind w:firstLine="643" w:firstLineChars="200"/>
        <w:jc w:val="left"/>
        <w:rPr>
          <w:rFonts w:hint="eastAsia" w:ascii="仿宋_GB2312" w:hAnsi="仿宋_GB2312" w:eastAsia="仿宋_GB2312" w:cs="仿宋_GB2312"/>
          <w:sz w:val="32"/>
          <w:szCs w:val="32"/>
          <w:lang w:val="zh-CN" w:eastAsia="zh-CN"/>
        </w:rPr>
      </w:pPr>
      <w:r>
        <w:rPr>
          <w:rFonts w:hint="eastAsia" w:ascii="Times New Roman" w:hAnsi="Times New Roman" w:eastAsia="宋体"/>
          <w:b/>
          <w:color w:val="auto"/>
          <w:sz w:val="32"/>
          <w:szCs w:val="32"/>
          <w:lang w:val="en-US" w:eastAsia="zh-CN"/>
        </w:rPr>
        <w:t>2</w:t>
      </w:r>
      <w:r>
        <w:rPr>
          <w:rFonts w:hint="eastAsia" w:ascii="宋体" w:hAnsi="宋体"/>
          <w:b/>
          <w:color w:val="auto"/>
          <w:sz w:val="32"/>
          <w:szCs w:val="32"/>
          <w:lang w:val="zh-CN"/>
        </w:rPr>
        <w:t>．社会保障和就业支出。</w:t>
      </w:r>
      <w:r>
        <w:rPr>
          <w:rFonts w:hint="eastAsia" w:ascii="仿宋_GB2312" w:hAnsi="仿宋_GB2312" w:eastAsia="仿宋_GB2312" w:cs="仿宋_GB2312"/>
          <w:sz w:val="32"/>
          <w:szCs w:val="32"/>
          <w:lang w:val="zh-CN" w:eastAsia="zh-CN"/>
        </w:rPr>
        <w:t>年初预算数为12.19万元,支出决算为2.62万元,完成年初预算的21.52%,决算数小于预算数的主要原因是人员社保增加。</w:t>
      </w:r>
    </w:p>
    <w:p w14:paraId="7B2D1323">
      <w:pPr>
        <w:spacing w:before="100" w:beforeLines="0" w:after="100" w:afterLines="0"/>
        <w:ind w:firstLine="643" w:firstLineChars="200"/>
        <w:jc w:val="left"/>
        <w:rPr>
          <w:rFonts w:hint="eastAsia" w:ascii="仿宋_GB2312" w:hAnsi="仿宋_GB2312" w:eastAsia="仿宋_GB2312" w:cs="仿宋_GB2312"/>
          <w:sz w:val="32"/>
          <w:szCs w:val="32"/>
          <w:lang w:val="zh-CN" w:eastAsia="zh-CN"/>
        </w:rPr>
      </w:pPr>
      <w:r>
        <w:rPr>
          <w:rFonts w:hint="eastAsia" w:ascii="Times New Roman" w:hAnsi="Times New Roman" w:eastAsia="宋体"/>
          <w:b/>
          <w:color w:val="auto"/>
          <w:sz w:val="32"/>
          <w:szCs w:val="32"/>
          <w:lang w:val="en-US" w:eastAsia="zh-CN"/>
        </w:rPr>
        <w:t>3</w:t>
      </w:r>
      <w:r>
        <w:rPr>
          <w:rFonts w:hint="eastAsia" w:ascii="宋体" w:hAnsi="宋体"/>
          <w:b/>
          <w:color w:val="auto"/>
          <w:sz w:val="32"/>
          <w:szCs w:val="32"/>
          <w:lang w:val="zh-CN"/>
        </w:rPr>
        <w:t>．卫生健康支出。</w:t>
      </w:r>
      <w:r>
        <w:rPr>
          <w:rFonts w:hint="eastAsia" w:ascii="仿宋_GB2312" w:hAnsi="仿宋_GB2312" w:eastAsia="仿宋_GB2312" w:cs="仿宋_GB2312"/>
          <w:sz w:val="32"/>
          <w:szCs w:val="32"/>
          <w:lang w:val="zh-CN" w:eastAsia="zh-CN"/>
        </w:rPr>
        <w:t>年初预算数为4.02万元,支出决算为4.82万元,完成年初预算的119.91%,决算数大于预算数的主要原因是人员社保增加。</w:t>
      </w:r>
    </w:p>
    <w:p w14:paraId="7E3CB5C5">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六、一般公共预算财政拨款基本支出决算情况说明</w:t>
      </w:r>
    </w:p>
    <w:p w14:paraId="7CCA667A">
      <w:p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2023年度一般公共预算财政拨款基本支出95.76万元。其中：</w:t>
      </w:r>
    </w:p>
    <w:p w14:paraId="60A21FE4">
      <w:pPr>
        <w:spacing w:before="100" w:beforeLines="0" w:after="100" w:afterLines="0"/>
        <w:ind w:firstLine="643" w:firstLineChars="200"/>
        <w:jc w:val="left"/>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bCs/>
          <w:sz w:val="32"/>
          <w:szCs w:val="32"/>
          <w:lang w:val="zh-CN" w:eastAsia="zh-CN"/>
        </w:rPr>
        <w:t>人员经费</w:t>
      </w:r>
      <w:r>
        <w:rPr>
          <w:rFonts w:hint="eastAsia" w:ascii="仿宋_GB2312" w:hAnsi="仿宋_GB2312" w:eastAsia="仿宋_GB2312" w:cs="仿宋_GB2312"/>
          <w:sz w:val="32"/>
          <w:szCs w:val="32"/>
          <w:lang w:val="zh-CN" w:eastAsia="zh-CN"/>
        </w:rPr>
        <w:t>88.10万元,其中工资福利支出</w:t>
      </w:r>
      <w:r>
        <w:rPr>
          <w:rFonts w:hint="eastAsia" w:ascii="仿宋_GB2312" w:hAnsi="仿宋_GB2312" w:eastAsia="仿宋_GB2312" w:cs="仿宋_GB2312"/>
          <w:sz w:val="32"/>
          <w:szCs w:val="32"/>
          <w:lang w:val="en-US" w:eastAsia="zh-CN"/>
        </w:rPr>
        <w:t>87.75万元，对个人和家庭的补助0.35万元，</w:t>
      </w:r>
      <w:r>
        <w:rPr>
          <w:rFonts w:hint="eastAsia" w:ascii="仿宋_GB2312" w:hAnsi="仿宋_GB2312" w:eastAsia="仿宋_GB2312" w:cs="仿宋_GB2312"/>
          <w:sz w:val="32"/>
          <w:szCs w:val="32"/>
          <w:lang w:val="zh-CN" w:eastAsia="zh-CN"/>
        </w:rPr>
        <w:t>较上年决算数增加16.31万元,增长22.72%,主要原因是人员工资福利增加。</w:t>
      </w:r>
      <w:r>
        <w:rPr>
          <w:rFonts w:hint="eastAsia" w:ascii="仿宋_GB2312" w:hAnsi="仿宋_GB2312" w:eastAsia="仿宋_GB2312" w:cs="仿宋_GB2312"/>
          <w:sz w:val="32"/>
          <w:szCs w:val="32"/>
          <w:highlight w:val="none"/>
          <w:lang w:val="zh-CN"/>
        </w:rPr>
        <w:t>人员经费用途主要包括基本工资、津贴补贴、奖金、社会保障缴费等。</w:t>
      </w:r>
    </w:p>
    <w:p w14:paraId="44627019">
      <w:pPr>
        <w:ind w:firstLine="643" w:firstLineChars="200"/>
        <w:jc w:val="left"/>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b/>
          <w:bCs/>
          <w:sz w:val="32"/>
          <w:szCs w:val="32"/>
          <w:highlight w:val="none"/>
          <w:lang w:val="zh-CN" w:eastAsia="zh-CN"/>
        </w:rPr>
        <w:t>公用经费</w:t>
      </w:r>
      <w:r>
        <w:rPr>
          <w:rFonts w:hint="eastAsia" w:ascii="仿宋_GB2312" w:hAnsi="仿宋_GB2312" w:eastAsia="仿宋_GB2312" w:cs="仿宋_GB2312"/>
          <w:sz w:val="32"/>
          <w:szCs w:val="32"/>
          <w:highlight w:val="none"/>
          <w:lang w:val="zh-CN" w:eastAsia="zh-CN"/>
        </w:rPr>
        <w:t>7.66万元,较上年决算数减少4.26万元,下降35.72%,主要原因是部分经费未完成支付。</w:t>
      </w:r>
      <w:r>
        <w:rPr>
          <w:rFonts w:hint="eastAsia" w:ascii="仿宋_GB2312" w:hAnsi="仿宋_GB2312" w:eastAsia="仿宋_GB2312" w:cs="仿宋_GB2312"/>
          <w:sz w:val="32"/>
          <w:szCs w:val="32"/>
          <w:highlight w:val="none"/>
          <w:lang w:val="zh-CN"/>
        </w:rPr>
        <w:t>公用经费主要包括</w:t>
      </w:r>
      <w:r>
        <w:rPr>
          <w:rFonts w:hint="eastAsia" w:ascii="仿宋_GB2312" w:hAnsi="仿宋_GB2312" w:eastAsia="仿宋_GB2312" w:cs="仿宋_GB2312"/>
          <w:sz w:val="32"/>
          <w:szCs w:val="32"/>
          <w:highlight w:val="none"/>
          <w:lang w:val="zh-CN" w:eastAsia="zh-CN"/>
        </w:rPr>
        <w:t>办公费</w:t>
      </w:r>
      <w:r>
        <w:rPr>
          <w:rFonts w:hint="eastAsia" w:ascii="仿宋_GB2312" w:hAnsi="仿宋_GB2312" w:eastAsia="仿宋_GB2312" w:cs="仿宋_GB2312"/>
          <w:sz w:val="32"/>
          <w:szCs w:val="32"/>
          <w:highlight w:val="none"/>
          <w:lang w:val="en-US" w:eastAsia="zh-CN"/>
        </w:rPr>
        <w:t>0.45万元，印刷费0.49万元，邮电费0.12万元，差旅费0.12万元，工会费0.14万元，福利费0.04万元，其他交通费6.3万元</w:t>
      </w:r>
      <w:r>
        <w:rPr>
          <w:rFonts w:hint="eastAsia" w:ascii="仿宋_GB2312" w:hAnsi="仿宋_GB2312" w:eastAsia="仿宋_GB2312" w:cs="仿宋_GB2312"/>
          <w:sz w:val="32"/>
          <w:szCs w:val="32"/>
          <w:highlight w:val="none"/>
          <w:lang w:val="zh-CN"/>
        </w:rPr>
        <w:t>。</w:t>
      </w:r>
    </w:p>
    <w:p w14:paraId="33412387">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七、政府性基金预算财政拨款收支决算情况说明</w:t>
      </w:r>
    </w:p>
    <w:p w14:paraId="29DA9497">
      <w:p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本单位2023年度无政府性基金收入,也没有使用政府性基金安排的支出。</w:t>
      </w:r>
    </w:p>
    <w:p w14:paraId="2E4E1892">
      <w:pPr>
        <w:numPr>
          <w:ilvl w:val="0"/>
          <w:numId w:val="2"/>
        </w:num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国有资本经营预算财政拨款支出情况说明</w:t>
      </w:r>
    </w:p>
    <w:p w14:paraId="58FEAD18">
      <w:pPr>
        <w:numPr>
          <w:ilvl w:val="0"/>
          <w:numId w:val="0"/>
        </w:num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本单位2023年度无使用国有资本经营预算安排的支出。</w:t>
      </w:r>
    </w:p>
    <w:p w14:paraId="365957F9">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九</w:t>
      </w:r>
      <w:r>
        <w:rPr>
          <w:rFonts w:hint="eastAsia" w:ascii="宋体" w:hAnsi="宋体"/>
          <w:b/>
          <w:bCs/>
          <w:color w:val="auto"/>
          <w:sz w:val="32"/>
          <w:szCs w:val="32"/>
          <w:lang w:val="zh-CN" w:eastAsia="zh-CN"/>
        </w:rPr>
        <w:t>、财政拨款</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三公</w:t>
      </w:r>
      <w:r>
        <w:rPr>
          <w:rFonts w:hint="default" w:ascii="宋体" w:hAnsi="宋体"/>
          <w:b/>
          <w:bCs/>
          <w:color w:val="auto"/>
          <w:sz w:val="32"/>
          <w:szCs w:val="32"/>
          <w:lang w:val="zh-CN" w:eastAsia="zh-CN"/>
        </w:rPr>
        <w:t>”</w:t>
      </w:r>
      <w:r>
        <w:rPr>
          <w:rFonts w:hint="eastAsia" w:ascii="宋体" w:hAnsi="宋体"/>
          <w:b/>
          <w:bCs/>
          <w:color w:val="auto"/>
          <w:sz w:val="32"/>
          <w:szCs w:val="32"/>
          <w:lang w:val="zh-CN" w:eastAsia="zh-CN"/>
        </w:rPr>
        <w:t>经费支出决算情况说明</w:t>
      </w:r>
    </w:p>
    <w:p w14:paraId="48503B28">
      <w:pPr>
        <w:spacing w:before="100" w:beforeLines="0" w:after="100" w:afterLines="0"/>
        <w:ind w:firstLine="640" w:firstLineChars="200"/>
        <w:jc w:val="left"/>
        <w:rPr>
          <w:rFonts w:hint="eastAsia" w:ascii="宋体" w:hAnsi="宋体"/>
          <w:color w:val="auto"/>
          <w:sz w:val="32"/>
          <w:szCs w:val="32"/>
          <w:lang w:val="zh-CN"/>
        </w:rPr>
      </w:pPr>
      <w:r>
        <w:rPr>
          <w:rFonts w:hint="eastAsia" w:ascii="仿宋_GB2312" w:hAnsi="仿宋_GB2312" w:eastAsia="仿宋_GB2312" w:cs="仿宋_GB2312"/>
          <w:sz w:val="32"/>
          <w:szCs w:val="32"/>
          <w:lang w:val="zh-CN" w:eastAsia="zh-CN"/>
        </w:rPr>
        <w:t>本单位为事业单位，</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lang w:val="zh-CN" w:eastAsia="zh-CN"/>
        </w:rPr>
        <w:t>“三公”经费无预算，也</w:t>
      </w:r>
      <w:bookmarkStart w:id="0" w:name="_GoBack"/>
      <w:bookmarkEnd w:id="0"/>
      <w:r>
        <w:rPr>
          <w:rFonts w:hint="eastAsia" w:ascii="仿宋_GB2312" w:hAnsi="仿宋_GB2312" w:eastAsia="仿宋_GB2312" w:cs="仿宋_GB2312"/>
          <w:sz w:val="32"/>
          <w:szCs w:val="32"/>
          <w:lang w:val="en-US" w:eastAsia="zh-CN"/>
        </w:rPr>
        <w:t>无</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三公</w:t>
      </w:r>
      <w:r>
        <w:rPr>
          <w:rFonts w:hint="default" w:ascii="仿宋_GB2312" w:hAnsi="仿宋_GB2312" w:eastAsia="仿宋_GB2312" w:cs="仿宋_GB2312"/>
          <w:sz w:val="32"/>
          <w:szCs w:val="32"/>
          <w:lang w:val="zh-CN" w:eastAsia="zh-CN"/>
        </w:rPr>
        <w:t>”</w:t>
      </w:r>
      <w:r>
        <w:rPr>
          <w:rFonts w:hint="eastAsia" w:ascii="仿宋_GB2312" w:hAnsi="仿宋_GB2312" w:eastAsia="仿宋_GB2312" w:cs="仿宋_GB2312"/>
          <w:sz w:val="32"/>
          <w:szCs w:val="32"/>
          <w:lang w:val="zh-CN" w:eastAsia="zh-CN"/>
        </w:rPr>
        <w:t>经费支出。</w:t>
      </w:r>
    </w:p>
    <w:p w14:paraId="13660F3E">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十</w:t>
      </w:r>
      <w:r>
        <w:rPr>
          <w:rFonts w:hint="eastAsia" w:ascii="宋体" w:hAnsi="宋体"/>
          <w:b/>
          <w:bCs/>
          <w:color w:val="auto"/>
          <w:sz w:val="32"/>
          <w:szCs w:val="32"/>
          <w:lang w:val="zh-CN" w:eastAsia="zh-CN"/>
        </w:rPr>
        <w:t>、机关运行经费支出情况说明</w:t>
      </w:r>
    </w:p>
    <w:p w14:paraId="483593E7">
      <w:p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2023年度本部门机关运行经费支出7.66万元,机关运行经费主要用于开支办公等正常运转经费。</w:t>
      </w:r>
    </w:p>
    <w:p w14:paraId="3AA2B439">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十一、政府采购支出情况说明</w:t>
      </w:r>
    </w:p>
    <w:p w14:paraId="2E573CFC">
      <w:p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本单位2023年度无政府采购支出。</w:t>
      </w:r>
    </w:p>
    <w:p w14:paraId="1F3F0781">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en-US" w:eastAsia="zh-CN"/>
        </w:rPr>
        <w:t>十二</w:t>
      </w:r>
      <w:r>
        <w:rPr>
          <w:rFonts w:hint="eastAsia" w:ascii="宋体" w:hAnsi="宋体"/>
          <w:b/>
          <w:bCs/>
          <w:color w:val="auto"/>
          <w:sz w:val="32"/>
          <w:szCs w:val="32"/>
          <w:lang w:val="zh-CN" w:eastAsia="zh-CN"/>
        </w:rPr>
        <w:t>、国有资产占用情况说明</w:t>
      </w:r>
    </w:p>
    <w:p w14:paraId="4D5880D5">
      <w:p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634235B8">
      <w:pPr>
        <w:spacing w:before="100" w:beforeLines="0" w:after="100" w:afterLines="0"/>
        <w:ind w:firstLine="643" w:firstLineChars="200"/>
        <w:jc w:val="left"/>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十三、其他需要说明的情况</w:t>
      </w:r>
    </w:p>
    <w:p w14:paraId="4AED35B9">
      <w:p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由于决算公开表格中金额数值应当保留两位小数，公开数据为四舍五入计算结果，个别数据合计项与分项之和存在小数点后差额，特此说明。</w:t>
      </w:r>
    </w:p>
    <w:p w14:paraId="3BFB8046">
      <w:pPr>
        <w:spacing w:before="100" w:beforeLines="0" w:after="100" w:afterLines="0"/>
        <w:jc w:val="left"/>
        <w:rPr>
          <w:rFonts w:hint="eastAsia" w:ascii="宋体" w:hAnsi="宋体"/>
          <w:color w:val="auto"/>
          <w:sz w:val="32"/>
          <w:szCs w:val="32"/>
          <w:lang w:val="zh-CN"/>
        </w:rPr>
      </w:pPr>
    </w:p>
    <w:p w14:paraId="2876D69A">
      <w:pPr>
        <w:spacing w:before="100" w:beforeLines="0" w:after="100" w:afterLines="0"/>
        <w:jc w:val="center"/>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第四部分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预算绩效情况说明</w:t>
      </w:r>
    </w:p>
    <w:p w14:paraId="77C54013">
      <w:pPr>
        <w:spacing w:before="100" w:beforeLines="0" w:after="100" w:afterLines="0"/>
        <w:ind w:firstLine="640" w:firstLineChars="200"/>
        <w:jc w:val="left"/>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2023年度，组织开展绩效自评项目共1个，其中，单位整体支出1个，绩效自评覆盖率为100%。绩效自评结果随部门决算报送财政和随决算公开情况：及时公开。</w:t>
      </w:r>
    </w:p>
    <w:p w14:paraId="186D0D57">
      <w:pPr>
        <w:spacing w:before="100" w:beforeLines="0" w:after="100" w:afterLines="0"/>
        <w:ind w:firstLine="640" w:firstLineChars="200"/>
        <w:jc w:val="left"/>
        <w:rPr>
          <w:rFonts w:hint="eastAsia" w:ascii="宋体" w:hAnsi="宋体"/>
          <w:b w:val="0"/>
          <w:bCs w:val="0"/>
          <w:color w:val="auto"/>
          <w:sz w:val="32"/>
          <w:szCs w:val="32"/>
          <w:lang w:val="zh-CN" w:eastAsia="zh-CN"/>
        </w:rPr>
      </w:pPr>
      <w:r>
        <w:rPr>
          <w:rFonts w:hint="eastAsia" w:ascii="仿宋_GB2312" w:hAnsi="仿宋_GB2312" w:eastAsia="仿宋_GB2312" w:cs="仿宋_GB2312"/>
          <w:sz w:val="32"/>
          <w:szCs w:val="32"/>
          <w:lang w:val="zh-CN" w:eastAsia="zh-CN"/>
        </w:rPr>
        <w:t>绩效结果应用情况。根据2023年度绩效运行监控、绩效自评等情况，当年盘活财政资金 0万元，2024年度增加（减少）部门预算项目0个，增长率/压减率0 %。同时对政策和项目资金管理作出调整的0个</w:t>
      </w:r>
      <w:r>
        <w:rPr>
          <w:rFonts w:hint="eastAsia" w:ascii="宋体" w:hAnsi="宋体"/>
          <w:b w:val="0"/>
          <w:bCs w:val="0"/>
          <w:color w:val="auto"/>
          <w:sz w:val="32"/>
          <w:szCs w:val="32"/>
          <w:lang w:val="zh-CN" w:eastAsia="zh-CN"/>
        </w:rPr>
        <w:t>。</w:t>
      </w:r>
    </w:p>
    <w:p w14:paraId="2F882505">
      <w:pPr>
        <w:spacing w:before="100" w:beforeLines="0" w:after="100" w:afterLines="0"/>
        <w:jc w:val="center"/>
        <w:rPr>
          <w:rFonts w:hint="eastAsia" w:ascii="宋体" w:hAnsi="宋体"/>
          <w:b/>
          <w:bCs/>
          <w:color w:val="auto"/>
          <w:sz w:val="32"/>
          <w:szCs w:val="32"/>
          <w:lang w:val="zh-CN" w:eastAsia="zh-CN"/>
        </w:rPr>
      </w:pPr>
      <w:r>
        <w:rPr>
          <w:rFonts w:hint="eastAsia" w:ascii="宋体" w:hAnsi="宋体"/>
          <w:b/>
          <w:bCs/>
          <w:color w:val="auto"/>
          <w:sz w:val="32"/>
          <w:szCs w:val="32"/>
          <w:lang w:val="zh-CN" w:eastAsia="zh-CN"/>
        </w:rPr>
        <w:t>第五部分</w:t>
      </w:r>
      <w:r>
        <w:rPr>
          <w:rFonts w:hint="eastAsia" w:ascii="宋体" w:hAnsi="宋体"/>
          <w:b/>
          <w:bCs/>
          <w:color w:val="auto"/>
          <w:sz w:val="32"/>
          <w:szCs w:val="32"/>
          <w:lang w:val="en-US" w:eastAsia="zh-CN"/>
        </w:rPr>
        <w:t xml:space="preserve">  </w:t>
      </w:r>
      <w:r>
        <w:rPr>
          <w:rFonts w:hint="eastAsia" w:ascii="宋体" w:hAnsi="宋体"/>
          <w:b/>
          <w:bCs/>
          <w:color w:val="auto"/>
          <w:sz w:val="32"/>
          <w:szCs w:val="32"/>
          <w:lang w:val="zh-CN" w:eastAsia="zh-CN"/>
        </w:rPr>
        <w:t>名词解释</w:t>
      </w:r>
    </w:p>
    <w:p w14:paraId="5C127414">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一、财政拨款收入</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指本年度从同级财政部门取得的财政拨款,包括一般公共预算财政拨款、政府性基金预算财政拨款和国有资本经营预算财政拨款。</w:t>
      </w:r>
    </w:p>
    <w:p w14:paraId="7EA063F5">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二、事业收入</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指事业单位开展专业业务活动及其辅助活动取得的收入。</w:t>
      </w:r>
    </w:p>
    <w:p w14:paraId="5FD5CC91">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三、经营收入</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指事业单位在专业业务活动及其辅助活动之外开展非独立核算经营活动取得的收入。</w:t>
      </w:r>
    </w:p>
    <w:p w14:paraId="65FC138C">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四、其他收入</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指除上述“财政拨款收入”“事业收入”、“经营收入”以外的收入。</w:t>
      </w:r>
    </w:p>
    <w:p w14:paraId="237E48AB">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bCs/>
          <w:color w:val="auto"/>
          <w:sz w:val="32"/>
          <w:szCs w:val="32"/>
          <w:lang w:val="zh-CN"/>
        </w:rPr>
        <w:t>五、使用非财政拨款结余（含专用结余）：</w:t>
      </w:r>
      <w:r>
        <w:rPr>
          <w:rFonts w:hint="eastAsia" w:ascii="仿宋_GB2312" w:hAnsi="仿宋_GB2312" w:eastAsia="仿宋_GB2312" w:cs="仿宋_GB2312"/>
          <w:sz w:val="32"/>
          <w:szCs w:val="32"/>
          <w:lang w:val="zh-CN" w:eastAsia="zh-CN"/>
        </w:rPr>
        <w:t>指事业单位按照预算管理要求使用非财政拨款结余弥补收支差额的金额，以及使用专用结余安排支出的金额。</w:t>
      </w:r>
    </w:p>
    <w:p w14:paraId="728CB3E4">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六、年初结转和结余</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指单位上年结转至本年使用的基本支出结转、项目支出结转和结余、经营结余。</w:t>
      </w:r>
    </w:p>
    <w:p w14:paraId="0C9C408C">
      <w:pPr>
        <w:spacing w:before="100" w:beforeLines="0" w:after="100" w:afterLines="0"/>
        <w:ind w:firstLine="643" w:firstLineChars="20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七、结余分配</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指单位按照会计制度规定缴纳的所得税、提取的专用结余以及转入非财政拨款结余的金额等。</w:t>
      </w:r>
    </w:p>
    <w:p w14:paraId="4ABE326A">
      <w:pPr>
        <w:spacing w:before="100" w:beforeLines="0" w:after="100" w:afterLines="0"/>
        <w:ind w:firstLine="643" w:firstLineChars="20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八、年末结转和结余</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指单位按有关规定结转到下年的基本支出结转、项目支出结转和结余、经营结余。</w:t>
      </w:r>
    </w:p>
    <w:p w14:paraId="627C5EAD">
      <w:pPr>
        <w:spacing w:before="100" w:beforeLines="0" w:after="100" w:afterLines="0"/>
        <w:ind w:firstLine="643" w:firstLineChars="20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九、基本支出</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指为保障机构正常运转、完成日常工作任务而发生的人员经费和公用经费。</w:t>
      </w:r>
    </w:p>
    <w:p w14:paraId="6F0E70D7">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十、项目支出</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指在基本支出之外为完成特定行政任务或事业发展目标所发生的支出。</w:t>
      </w:r>
    </w:p>
    <w:p w14:paraId="30F0605F">
      <w:pPr>
        <w:spacing w:before="100" w:beforeLines="0" w:after="100" w:afterLines="0"/>
        <w:ind w:firstLine="643" w:firstLineChars="200"/>
        <w:jc w:val="both"/>
        <w:rPr>
          <w:rFonts w:hint="eastAsia" w:ascii="宋体" w:hAnsi="宋体" w:eastAsia="宋体" w:cs="宋体"/>
          <w:color w:val="auto"/>
          <w:sz w:val="32"/>
          <w:szCs w:val="32"/>
          <w:lang w:val="zh-CN"/>
        </w:rPr>
      </w:pPr>
      <w:r>
        <w:rPr>
          <w:rFonts w:hint="eastAsia" w:ascii="宋体" w:hAnsi="宋体" w:eastAsia="宋体" w:cs="宋体"/>
          <w:b/>
          <w:color w:val="auto"/>
          <w:sz w:val="32"/>
          <w:szCs w:val="32"/>
          <w:lang w:val="zh-CN"/>
        </w:rPr>
        <w:t>十一、经营支出</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指事业单位在专业业务活动及其辅助活动之外开展非独立核算经营活动发生的支出。</w:t>
      </w:r>
    </w:p>
    <w:p w14:paraId="78D3F727">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十二、“三公”经费</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6C8C28E">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十三、机关运行经费</w:t>
      </w:r>
      <w:r>
        <w:rPr>
          <w:rFonts w:hint="eastAsia" w:ascii="宋体" w:hAnsi="宋体" w:eastAsia="宋体" w:cs="宋体"/>
          <w:color w:val="auto"/>
          <w:sz w:val="32"/>
          <w:szCs w:val="32"/>
          <w:lang w:val="zh-CN"/>
        </w:rPr>
        <w:t>：</w:t>
      </w:r>
      <w:r>
        <w:rPr>
          <w:rFonts w:hint="eastAsia" w:ascii="仿宋_GB2312" w:hAnsi="仿宋_GB2312" w:eastAsia="仿宋_GB2312" w:cs="仿宋_GB2312"/>
          <w:sz w:val="32"/>
          <w:szCs w:val="32"/>
          <w:lang w:val="zh-CN" w:eastAsia="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55CF10FE">
      <w:pPr>
        <w:spacing w:before="100" w:beforeLines="0" w:after="100" w:afterLines="0"/>
        <w:ind w:firstLine="643" w:firstLineChars="200"/>
        <w:jc w:val="both"/>
        <w:rPr>
          <w:rFonts w:hint="eastAsia" w:ascii="仿宋_GB2312" w:hAnsi="仿宋_GB2312" w:eastAsia="仿宋_GB2312" w:cs="仿宋_GB2312"/>
          <w:sz w:val="32"/>
          <w:szCs w:val="32"/>
          <w:lang w:val="zh-CN" w:eastAsia="zh-CN"/>
        </w:rPr>
      </w:pPr>
      <w:r>
        <w:rPr>
          <w:rFonts w:hint="eastAsia" w:ascii="宋体" w:hAnsi="宋体" w:eastAsia="宋体" w:cs="宋体"/>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sz w:val="32"/>
          <w:szCs w:val="32"/>
          <w:lang w:val="zh-CN" w:eastAsia="zh-CN"/>
        </w:rPr>
        <w:t>反映机关事业单位实施养老保险制度由单位缴纳的基本养老保险支出。</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ABE014"/>
    <w:multiLevelType w:val="singleLevel"/>
    <w:tmpl w:val="37ABE014"/>
    <w:lvl w:ilvl="0" w:tentative="0">
      <w:start w:val="8"/>
      <w:numFmt w:val="chineseCounting"/>
      <w:suff w:val="nothing"/>
      <w:lvlText w:val="%1、"/>
      <w:lvlJc w:val="left"/>
      <w:rPr>
        <w:rFonts w:hint="eastAsia"/>
      </w:rPr>
    </w:lvl>
  </w:abstractNum>
  <w:abstractNum w:abstractNumId="1">
    <w:nsid w:val="4F49AAED"/>
    <w:multiLevelType w:val="singleLevel"/>
    <w:tmpl w:val="4F49AAE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jMzY3OGMyZDYzNjQ5YTI4MTI1ZWNjNmJkNGI0OWQifQ=="/>
  </w:docVars>
  <w:rsids>
    <w:rsidRoot w:val="00000000"/>
    <w:rsid w:val="05762054"/>
    <w:rsid w:val="08D44EE3"/>
    <w:rsid w:val="0E4E453B"/>
    <w:rsid w:val="1E5A0A86"/>
    <w:rsid w:val="224D11D6"/>
    <w:rsid w:val="3275301D"/>
    <w:rsid w:val="334C648B"/>
    <w:rsid w:val="42DD73D7"/>
    <w:rsid w:val="47837DFE"/>
    <w:rsid w:val="4B5A1C7A"/>
    <w:rsid w:val="545215C9"/>
    <w:rsid w:val="59243BCD"/>
    <w:rsid w:val="67C8056C"/>
    <w:rsid w:val="67CB3CC8"/>
    <w:rsid w:val="69D535A0"/>
    <w:rsid w:val="71242F4E"/>
    <w:rsid w:val="7357314E"/>
    <w:rsid w:val="76916EF5"/>
    <w:rsid w:val="7D06181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0cf57cde-f57c-42b9-9b4e-2cd57aae76fb}">
  <ds:schemaRefs/>
</ds:datastoreItem>
</file>

<file path=customXml/itemProps2.xml><?xml version="1.0" encoding="utf-8"?>
<ds:datastoreItem xmlns:ds="http://schemas.openxmlformats.org/officeDocument/2006/customXml" ds:itemID="{e2ae0578-ff21-49e5-b6f3-9fd9edff2cc5}">
  <ds:schemaRefs/>
</ds:datastoreItem>
</file>

<file path=customXml/itemProps3.xml><?xml version="1.0" encoding="utf-8"?>
<ds:datastoreItem xmlns:ds="http://schemas.openxmlformats.org/officeDocument/2006/customXml" ds:itemID="{22ea5a05-85e9-4257-bc87-fdbec17a6468}">
  <ds:schemaRefs/>
</ds:datastoreItem>
</file>

<file path=customXml/itemProps4.xml><?xml version="1.0" encoding="utf-8"?>
<ds:datastoreItem xmlns:ds="http://schemas.openxmlformats.org/officeDocument/2006/customXml" ds:itemID="{b429b300-43bb-48bd-bebd-6d7ca44bc6fd}">
  <ds:schemaRefs/>
</ds:datastoreItem>
</file>

<file path=customXml/itemProps5.xml><?xml version="1.0" encoding="utf-8"?>
<ds:datastoreItem xmlns:ds="http://schemas.openxmlformats.org/officeDocument/2006/customXml" ds:itemID="{93857142-5621-48d7-ba18-8398753df88c}">
  <ds:schemaRefs/>
</ds:datastoreItem>
</file>

<file path=customXml/itemProps6.xml><?xml version="1.0" encoding="utf-8"?>
<ds:datastoreItem xmlns:ds="http://schemas.openxmlformats.org/officeDocument/2006/customXml" ds:itemID="{56ff4258-3e77-4c31-9451-3adf93222d83}">
  <ds:schemaRefs/>
</ds:datastoreItem>
</file>

<file path=customXml/itemProps7.xml><?xml version="1.0" encoding="utf-8"?>
<ds:datastoreItem xmlns:ds="http://schemas.openxmlformats.org/officeDocument/2006/customXml" ds:itemID="{132c734e-9456-4e47-abb3-d242667f269b}">
  <ds:schemaRefs/>
</ds:datastoreItem>
</file>

<file path=customXml/itemProps8.xml><?xml version="1.0" encoding="utf-8"?>
<ds:datastoreItem xmlns:ds="http://schemas.openxmlformats.org/officeDocument/2006/customXml" ds:itemID="{bb4ace66-0bfe-488b-9da5-70f234f5e93c}">
  <ds:schemaRefs/>
</ds:datastoreItem>
</file>

<file path=customXml/itemProps9.xml><?xml version="1.0" encoding="utf-8"?>
<ds:datastoreItem xmlns:ds="http://schemas.openxmlformats.org/officeDocument/2006/customXml" ds:itemID="{609abfcd-ed21-43b7-9d65-ab9af29d4c5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3447</Words>
  <Characters>3762</Characters>
  <Lines>0</Lines>
  <Paragraphs>0</Paragraphs>
  <TotalTime>7</TotalTime>
  <ScaleCrop>false</ScaleCrop>
  <LinksUpToDate>false</LinksUpToDate>
  <CharactersWithSpaces>3769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视而不见</cp:lastModifiedBy>
  <dcterms:modified xsi:type="dcterms:W3CDTF">2025-04-29T06:39:18Z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E06D266F13EA4024808CEEADBAD91186_11</vt:lpwstr>
  </property>
  <property fmtid="{D5CDD505-2E9C-101B-9397-08002B2CF9AE}" pid="4" name="KSOTemplateDocerSaveRecord">
    <vt:lpwstr>eyJoZGlkIjoiYTJjMzY3OGMyZDYzNjQ5YTI4MTI1ZWNjNmJkNGI0OWQiLCJ1c2VySWQiOiIzNTc0MDcwNjgifQ==</vt:lpwstr>
  </property>
</Properties>
</file>